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320" w:rsidRPr="00D72902" w:rsidRDefault="00835320" w:rsidP="00835320">
      <w:pPr>
        <w:jc w:val="center"/>
        <w:rPr>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D72902">
        <w:rPr>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fldChar w:fldCharType="begin"/>
      </w:r>
      <w:r w:rsidRPr="00D72902">
        <w:rPr>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instrText xml:space="preserve"> HYPERLINK "https://elpais.com/elpais/2015/11/04/ciencia/1446655099_210486.html" </w:instrText>
      </w:r>
      <w:r w:rsidRPr="00D72902">
        <w:rPr>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fldChar w:fldCharType="separate"/>
      </w:r>
      <w:r w:rsidRPr="00D72902">
        <w:rPr>
          <w:rStyle w:val="Hipervnculo"/>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Tema</w:t>
      </w:r>
      <w:r w:rsidRPr="00D72902">
        <w:rPr>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fldChar w:fldCharType="end"/>
      </w:r>
      <w:r w:rsidRPr="00D72902">
        <w:rPr>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w:t>
      </w:r>
      <w:r>
        <w:rPr>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I</w:t>
      </w:r>
    </w:p>
    <w:p w:rsidR="00835320" w:rsidRDefault="00835320" w:rsidP="00835320">
      <w:pPr>
        <w:jc w:val="center"/>
        <w:rPr>
          <w:b/>
          <w:color w:val="F8F8F8" w:themeColor="background2"/>
          <w:sz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b/>
          <w:color w:val="F8F8F8"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El pensamiento creativo</w:t>
      </w:r>
      <w:r w:rsidRPr="00D72902">
        <w:rPr>
          <w:b/>
          <w:color w:val="F8F8F8" w:themeColor="background2"/>
          <w:sz w:val="40"/>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w:t>
      </w:r>
    </w:p>
    <w:p w:rsidR="0036373F" w:rsidRPr="0036373F" w:rsidRDefault="0036373F" w:rsidP="0036373F">
      <w:pPr>
        <w:spacing w:after="0" w:line="240" w:lineRule="auto"/>
        <w:jc w:val="center"/>
        <w:textAlignment w:val="baseline"/>
        <w:outlineLvl w:val="1"/>
        <w:rPr>
          <w:rFonts w:eastAsia="Times New Roman" w:cstheme="minorHAnsi"/>
          <w:b/>
          <w:bCs/>
          <w:color w:val="666666"/>
          <w:lang w:eastAsia="es-MX"/>
        </w:rPr>
      </w:pPr>
    </w:p>
    <w:p w:rsidR="0036373F" w:rsidRPr="000441E9" w:rsidRDefault="0036373F" w:rsidP="0036373F">
      <w:pPr>
        <w:spacing w:after="0" w:line="459" w:lineRule="atLeast"/>
        <w:textAlignment w:val="baseline"/>
        <w:rPr>
          <w:rFonts w:eastAsia="Times New Roman" w:cstheme="minorHAnsi"/>
          <w:color w:val="666666"/>
          <w:lang w:eastAsia="es-MX"/>
        </w:rPr>
      </w:pPr>
      <w:r w:rsidRPr="0036373F">
        <w:rPr>
          <w:rFonts w:eastAsia="Times New Roman" w:cstheme="minorHAnsi"/>
          <w:color w:val="666666"/>
          <w:lang w:eastAsia="es-MX"/>
        </w:rPr>
        <w:t>Para poder entender mejor el significado del término pensamiento creativo que ahora vamos a analizar es importante que, en primer lugar, establezcamos su origen etimológico. En concreto las dos palabras que lo conforman emanan del latín. Así, pensamiento proviene del verbo latino </w:t>
      </w:r>
      <w:r w:rsidRPr="000441E9">
        <w:rPr>
          <w:rFonts w:eastAsia="Times New Roman" w:cstheme="minorHAnsi"/>
          <w:i/>
          <w:iCs/>
          <w:color w:val="666666"/>
          <w:bdr w:val="none" w:sz="0" w:space="0" w:color="auto" w:frame="1"/>
          <w:lang w:eastAsia="es-MX"/>
        </w:rPr>
        <w:t>pensare </w:t>
      </w:r>
      <w:r w:rsidRPr="0036373F">
        <w:rPr>
          <w:rFonts w:eastAsia="Times New Roman" w:cstheme="minorHAnsi"/>
          <w:color w:val="666666"/>
          <w:lang w:eastAsia="es-MX"/>
        </w:rPr>
        <w:t>que es sinónimo de “pensar” o “reflexionar” mientras que creativo procede del verbo </w:t>
      </w:r>
      <w:r w:rsidRPr="000441E9">
        <w:rPr>
          <w:rFonts w:eastAsia="Times New Roman" w:cstheme="minorHAnsi"/>
          <w:i/>
          <w:iCs/>
          <w:color w:val="666666"/>
          <w:bdr w:val="none" w:sz="0" w:space="0" w:color="auto" w:frame="1"/>
          <w:lang w:eastAsia="es-MX"/>
        </w:rPr>
        <w:t>creare </w:t>
      </w:r>
      <w:r w:rsidRPr="0036373F">
        <w:rPr>
          <w:rFonts w:eastAsia="Times New Roman" w:cstheme="minorHAnsi"/>
          <w:color w:val="666666"/>
          <w:lang w:eastAsia="es-MX"/>
        </w:rPr>
        <w:t>que puede traducirse como “engendrar”.</w:t>
      </w:r>
    </w:p>
    <w:p w:rsidR="0036373F" w:rsidRDefault="0036373F" w:rsidP="0036373F">
      <w:pPr>
        <w:spacing w:after="0" w:line="459" w:lineRule="atLeast"/>
        <w:textAlignment w:val="baseline"/>
        <w:rPr>
          <w:rFonts w:ascii="Georgia" w:eastAsia="Times New Roman" w:hAnsi="Georgia" w:cs="Times New Roman"/>
          <w:color w:val="666666"/>
          <w:sz w:val="26"/>
          <w:szCs w:val="26"/>
          <w:lang w:eastAsia="es-MX"/>
        </w:rPr>
      </w:pPr>
    </w:p>
    <w:p w:rsidR="0036373F" w:rsidRDefault="0036373F" w:rsidP="0036373F">
      <w:pPr>
        <w:spacing w:after="0" w:line="459" w:lineRule="atLeast"/>
        <w:textAlignment w:val="baseline"/>
        <w:rPr>
          <w:rFonts w:ascii="Georgia" w:eastAsia="Times New Roman" w:hAnsi="Georgia" w:cs="Times New Roman"/>
          <w:color w:val="666666"/>
          <w:sz w:val="26"/>
          <w:szCs w:val="26"/>
          <w:lang w:eastAsia="es-MX"/>
        </w:rPr>
      </w:pPr>
      <w:r>
        <w:rPr>
          <w:noProof/>
          <w:lang w:eastAsia="es-MX"/>
        </w:rPr>
        <w:drawing>
          <wp:inline distT="0" distB="0" distL="0" distR="0">
            <wp:extent cx="3571875" cy="4762500"/>
            <wp:effectExtent l="0" t="0" r="9525" b="0"/>
            <wp:docPr id="1" name="Imagen 1" descr="Resultado de imagen para brain and ma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brain and mai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71875" cy="4762500"/>
                    </a:xfrm>
                    <a:prstGeom prst="rect">
                      <a:avLst/>
                    </a:prstGeom>
                    <a:noFill/>
                    <a:ln>
                      <a:noFill/>
                    </a:ln>
                  </pic:spPr>
                </pic:pic>
              </a:graphicData>
            </a:graphic>
          </wp:inline>
        </w:drawing>
      </w:r>
    </w:p>
    <w:p w:rsidR="000441E9" w:rsidRDefault="000441E9"/>
    <w:p w:rsidR="000441E9" w:rsidRDefault="000441E9" w:rsidP="000441E9">
      <w:r>
        <w:lastRenderedPageBreak/>
        <w:t>La creatividad es la facultad de crear. Supone establecer o introducir por primera vez algo; hacerlo nacer o producir algo de la nada. El pensamiento, por su parte, es el producto de la actividad intelectual (aquello traído a la existencia a través de la mente).</w:t>
      </w:r>
    </w:p>
    <w:p w:rsidR="000441E9" w:rsidRDefault="000441E9" w:rsidP="000441E9">
      <w:r>
        <w:t>El pensamiento creativo, por lo tanto, consiste en el desarrollo de nuevas ideas y conceptos. Se trata de la habilidad de formar nuevas combinaciones de ideas para llenar una necesidad. Por lo tanto, el resultado o producto del pensamiento creativo tiende a ser original.</w:t>
      </w:r>
    </w:p>
    <w:p w:rsidR="000441E9" w:rsidRDefault="000441E9" w:rsidP="000441E9">
      <w:r>
        <w:t>Es importante destacar que el pensamiento creativo debe tener un resultado, ya sea a través de una acción interna (como llegar a una conclusión, formular una hipótesis o tomar una cierta decisión) o de una acción externa (como escribir un libro, pintar un cuadro o componer una canción).</w:t>
      </w:r>
    </w:p>
    <w:p w:rsidR="000441E9" w:rsidRDefault="000441E9" w:rsidP="000441E9">
      <w:r>
        <w:t xml:space="preserve">Muchos son los autores que a lo largo del tiempo han hablado acerca del pensamiento creativo, han contribuido al desarrollo del mismo o han participado en su consolidación. Este sería el caso, por ejemplo, de </w:t>
      </w:r>
      <w:proofErr w:type="spellStart"/>
      <w:r>
        <w:t>Halpern</w:t>
      </w:r>
      <w:proofErr w:type="spellEnd"/>
      <w:r>
        <w:t>. En su caso podemos decir que incluso existe un test, que lleva su nombre, con el que se puede evaluar el pensamiento crítico de una persona en cuestión a partir de lo que son situaciones completamente cotidianas.</w:t>
      </w:r>
    </w:p>
    <w:p w:rsidR="000441E9" w:rsidRDefault="000441E9" w:rsidP="000441E9">
      <w:r>
        <w:t xml:space="preserve">No obstante, junto a aquel personaje relevante dentro de este tipo de disciplina que estamos analizando se encuentran también el profesor Frank </w:t>
      </w:r>
      <w:proofErr w:type="spellStart"/>
      <w:r>
        <w:t>Barron</w:t>
      </w:r>
      <w:proofErr w:type="spellEnd"/>
      <w:r>
        <w:t xml:space="preserve"> o </w:t>
      </w:r>
      <w:proofErr w:type="spellStart"/>
      <w:r>
        <w:t>Perkins</w:t>
      </w:r>
      <w:proofErr w:type="spellEnd"/>
      <w:r>
        <w:t>.</w:t>
      </w:r>
    </w:p>
    <w:p w:rsidR="000441E9" w:rsidRDefault="000441E9" w:rsidP="000441E9">
      <w:r>
        <w:t>Es falsa la creencia respecto a que la creatividad no implica trabajo. Por el contrario, está asociada tanto al deseo como a la preparación. Es decir, existe una firme resolución y determinación para alcanzar un cierto deseo.</w:t>
      </w:r>
    </w:p>
    <w:p w:rsidR="000441E9" w:rsidRDefault="000441E9" w:rsidP="000441E9">
      <w:r>
        <w:t>Un sujeto creativo rechaza las alternativas obvias y corre riesgos al bucear en su propio conocimiento y habilidades, hasta encontrar algo que funcione mejor o sea más eficaz, por ejemplo.</w:t>
      </w:r>
    </w:p>
    <w:p w:rsidR="000441E9" w:rsidRDefault="000441E9" w:rsidP="000441E9">
      <w:r>
        <w:t>Por eso, la persona que desarrolla su pensamiento creativo tiene una gran confianza en su capacidad de evaluación, ya que valida por sí misma su trabajo y no requiere la aprobación de los demás.</w:t>
      </w:r>
    </w:p>
    <w:p w:rsidR="000441E9" w:rsidRDefault="000441E9" w:rsidP="000441E9">
      <w:r>
        <w:t>Puede decirse que las características esenciales del pensamiento creativo son su originalidad (para visualizar los problemas de manera diferente), su flexibilidad (las alternativas son consideradas en diferentes campos de respuesta) y su elaboración particular (se añaden elementos o detalles a ideas que ya existen, modificando alguno de sus atributos).</w:t>
      </w:r>
    </w:p>
    <w:p w:rsidR="000441E9" w:rsidRDefault="000441E9" w:rsidP="000441E9">
      <w:r>
        <w:t>Además de todo lo expuesto tenemos que subrayar el hecho de que existen una serie de máximas que son fundamentales para entender el pensamiento creativo. Así, se establece, por ejemplo, que este es fruto de la preparación y del deseo pero también se caracteriza por ser una reformulación de ideas.</w:t>
      </w:r>
    </w:p>
    <w:p w:rsidR="000441E9" w:rsidRDefault="000441E9" w:rsidP="000441E9">
      <w:r>
        <w:lastRenderedPageBreak/>
        <w:t>Finalmente tenemos que subrayar que este tipo de pensamiento se puede incentivar y desarrollar llevando a cabo la utilización de una serie de herramientas como pueden ser diversas técnicas de tipo creativo y los estímulos necesarios.</w:t>
      </w:r>
    </w:p>
    <w:p w:rsidR="0080350E" w:rsidRDefault="0080350E" w:rsidP="000441E9"/>
    <w:p w:rsidR="0080350E" w:rsidRDefault="0080350E" w:rsidP="000441E9">
      <w:r>
        <w:t>Clasificación Completa de los Tipos de Pensamiento:</w:t>
      </w:r>
    </w:p>
    <w:p w:rsidR="0080350E" w:rsidRDefault="0080350E" w:rsidP="0080350E">
      <w:r>
        <w:t>1. Pensamiento deductivo</w:t>
      </w:r>
    </w:p>
    <w:p w:rsidR="0080350E" w:rsidRDefault="0080350E" w:rsidP="0080350E">
      <w:r>
        <w:t>El pensamiento deductivo parte de afirmaciones basadas en ideas abstractas y universales para aplicarlas a casos particulares. Por ejemplo, si partimos de la idea de que un francés es alguien que vive en Francia y Francia está en Europa, concluiremos que René Descartes, que vivía en Francia, era europeo.</w:t>
      </w:r>
    </w:p>
    <w:p w:rsidR="0080350E" w:rsidRDefault="0080350E" w:rsidP="0080350E"/>
    <w:p w:rsidR="0080350E" w:rsidRDefault="0080350E" w:rsidP="0080350E">
      <w:r>
        <w:t>2. Pensamiento inductivo</w:t>
      </w:r>
    </w:p>
    <w:p w:rsidR="0080350E" w:rsidRDefault="0080350E" w:rsidP="0080350E">
      <w:r>
        <w:t>Este tipo de pensamiento no parte de afirmaciones generales, sino que se basa en casos particulares y, a partir de ellos, genera ideas generales. Por ejemplo, si observamos que las palomas tienen plumas, los avestruces tienen plumas y las garzas también tienen plumas, podemos concluir que estos tres animales forman parte de una categoría abstracta llamada “</w:t>
      </w:r>
      <w:proofErr w:type="spellStart"/>
      <w:r>
        <w:t>saurópsidos</w:t>
      </w:r>
      <w:proofErr w:type="spellEnd"/>
      <w:r>
        <w:t>”.</w:t>
      </w:r>
    </w:p>
    <w:p w:rsidR="0080350E" w:rsidRDefault="0080350E" w:rsidP="0080350E">
      <w:r>
        <w:t>3. Pensamiento analítico</w:t>
      </w:r>
    </w:p>
    <w:p w:rsidR="0080350E" w:rsidRDefault="0080350E" w:rsidP="0080350E">
      <w:r>
        <w:t>El pensamiento analítico crea piezas de información a partir de una unidad informacional amplia y llega a conclusiones viendo el modo en el que interactúan entre sí estos “fragmentos”.</w:t>
      </w:r>
    </w:p>
    <w:p w:rsidR="0080350E" w:rsidRDefault="0080350E" w:rsidP="0080350E">
      <w:r>
        <w:t>4. Pensamiento lateral o creativo</w:t>
      </w:r>
    </w:p>
    <w:p w:rsidR="0080350E" w:rsidRDefault="0080350E" w:rsidP="0080350E">
      <w:r>
        <w:t>En el pensamiento creativo se juega a crear soluciones originales y únicas ante problemas, mediante el cuestionamiento de las normas que en un principio parecen ser evidentes. Por ejemplo, una silla de columpio parece “predestinada” a ser utilizada en un tipo de juguete muy particular, pero es posible transgredir esta idea utilizándola como soporte para una maceta que cuelga de un porche. Este es uno de los tipos de pensamiento más utilizados en arte y artesanía.</w:t>
      </w:r>
    </w:p>
    <w:p w:rsidR="0080350E" w:rsidRDefault="0080350E" w:rsidP="0080350E">
      <w:r>
        <w:t>5. Pensamiento suave</w:t>
      </w:r>
    </w:p>
    <w:p w:rsidR="0080350E" w:rsidRDefault="0080350E" w:rsidP="0080350E">
      <w:r>
        <w:t>Este tipo de pensamiento se caracteriza por utilizar conceptos con unos límites muy difusos y poco claros, a menudo metafóricos, y la tendencia a no evitar las contradicciones. Actualmente es muy característico de corrientes de pensamiento vinculadas a la filosofía posmoderna o al psicoanálisis. Por ejemplo, puedes ver un ejemplo de este estilo en la descripción de los conceptos utilizados por Sigmund Freud en la teoría del desarrollo psicosexual.</w:t>
      </w:r>
    </w:p>
    <w:p w:rsidR="0080350E" w:rsidRDefault="0080350E" w:rsidP="0080350E">
      <w:r>
        <w:t>6. Pensamiento duro</w:t>
      </w:r>
    </w:p>
    <w:p w:rsidR="000441E9" w:rsidRDefault="0080350E" w:rsidP="0080350E">
      <w:r>
        <w:lastRenderedPageBreak/>
        <w:t>El pensamie</w:t>
      </w:r>
      <w:r w:rsidR="00081564">
        <w:t>nto duro utiliza conceptos lo má</w:t>
      </w:r>
      <w:bookmarkStart w:id="0" w:name="_GoBack"/>
      <w:bookmarkEnd w:id="0"/>
      <w:r>
        <w:t>s definidos posibles, y trata de evitar las contradicciones. Es típico del tipo de razonamientos vinculados a la ciencia, en los que un ligero matiz en el vocabulario usado puede llevar a conclusiones totalmente erróneas, y por eso puede resultar difícil avanzar a partir de él, dado que requiere una buena cantidad de habilidades cognitivas trabajando a la vez para alcanzar un fin.</w:t>
      </w:r>
    </w:p>
    <w:p w:rsidR="0080350E" w:rsidRDefault="0080350E" w:rsidP="0080350E">
      <w:r>
        <w:t>7. Pensamiento divergente</w:t>
      </w:r>
    </w:p>
    <w:p w:rsidR="0080350E" w:rsidRDefault="0080350E" w:rsidP="0080350E">
      <w:r>
        <w:t>En el pensamiento divergente se establece una división entre dos o más aspectos de una idea, y se explora las posibilidades de mantener esta “partición”. Por ejemplo, si alguien utiliza una misma palabra haciendo que cada vez tenga un significado distinto, detectar este error es un caso de pensamiento divergente en el que se detecta los distintos significados. Puedes ver ejemplos de esto fijándote en el uso que se hace habitualmente del concepto de “lo natural” aplicado a productos de alimentación, orientaciones sexuales poco comunes o tendencias de comportamiento generalizadas en general.</w:t>
      </w:r>
    </w:p>
    <w:p w:rsidR="0080350E" w:rsidRDefault="0080350E" w:rsidP="0080350E"/>
    <w:p w:rsidR="0080350E" w:rsidRDefault="0080350E" w:rsidP="0080350E">
      <w:r>
        <w:t>8. Pensamiento convergente</w:t>
      </w:r>
    </w:p>
    <w:p w:rsidR="0080350E" w:rsidRDefault="0080350E" w:rsidP="0080350E">
      <w:r>
        <w:t>En el pensamiento convergente se da un proceso por el cual nos damos cuenta de que hay diferentes hechos o realidades que encajan entre sí a pesar de que en un principio parecía que no tenían nada en común. Por ejemplo, si una familia de monarcas se da cuenta de que en una guerra les interesa ponerse a favor de uno de los bandos, habrán partido del análisis de los diferentes actores en conflicto hasta llegar a una conclusión global acerca de la opción más conveniente.</w:t>
      </w:r>
    </w:p>
    <w:p w:rsidR="0080350E" w:rsidRDefault="0080350E" w:rsidP="0080350E">
      <w:r>
        <w:t>Este es un tipo de pensamiento utilizado a la hora de detectar patrones comunes y regularidades, y puede llevar a abstraer un concepto general que explique partes específicas de la realidad.</w:t>
      </w:r>
    </w:p>
    <w:p w:rsidR="0080350E" w:rsidRDefault="0080350E" w:rsidP="0080350E">
      <w:r>
        <w:t>9. Pensamiento mágico</w:t>
      </w:r>
    </w:p>
    <w:p w:rsidR="0080350E" w:rsidRDefault="0080350E" w:rsidP="0080350E">
      <w:r>
        <w:t>El pensamiento mágico confiere intenciones a elementos que no cuentan con voluntad ni consciencia propias, y menos aún capacidad para actuar siguiendo planes. Por ejemplo, una niña que por su corta edad cree que las olas de la playa tratan de remojarles el pelo está utilizando el pensamiento mágico.</w:t>
      </w:r>
    </w:p>
    <w:p w:rsidR="0080350E" w:rsidRDefault="0080350E" w:rsidP="0080350E">
      <w:r>
        <w:t>Por otro lado, el pensamiento mágico no es propio solo de la etapa de la infancia: también aparece en adultos pertenecientes a sociedades y culturas poco familiarizadas con la escritura y con la ciencia. El motivo es que no han desarrollado un sistema para someter hipótesis a un examen de validez, y por consiguiente se puede sostener explicaciones míticas sobre la realidad que nos rodea.</w:t>
      </w:r>
    </w:p>
    <w:sectPr w:rsidR="0080350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73F"/>
    <w:rsid w:val="000441E9"/>
    <w:rsid w:val="00081564"/>
    <w:rsid w:val="001B6BAE"/>
    <w:rsid w:val="0036373F"/>
    <w:rsid w:val="003E67DC"/>
    <w:rsid w:val="0080350E"/>
    <w:rsid w:val="008353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36373F"/>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next w:val="Normal"/>
    <w:link w:val="Ttulo3Car"/>
    <w:uiPriority w:val="9"/>
    <w:semiHidden/>
    <w:unhideWhenUsed/>
    <w:qFormat/>
    <w:rsid w:val="0080350E"/>
    <w:pPr>
      <w:keepNext/>
      <w:keepLines/>
      <w:spacing w:before="200" w:after="0"/>
      <w:outlineLvl w:val="2"/>
    </w:pPr>
    <w:rPr>
      <w:rFonts w:asciiTheme="majorHAnsi" w:eastAsiaTheme="majorEastAsia" w:hAnsiTheme="majorHAnsi" w:cstheme="majorBidi"/>
      <w:b/>
      <w:bCs/>
      <w:color w:val="DDDDD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6373F"/>
    <w:rPr>
      <w:rFonts w:ascii="Times New Roman" w:eastAsia="Times New Roman" w:hAnsi="Times New Roman" w:cs="Times New Roman"/>
      <w:b/>
      <w:bCs/>
      <w:sz w:val="36"/>
      <w:szCs w:val="36"/>
      <w:lang w:eastAsia="es-MX"/>
    </w:rPr>
  </w:style>
  <w:style w:type="character" w:styleId="Hipervnculo">
    <w:name w:val="Hyperlink"/>
    <w:basedOn w:val="Fuentedeprrafopredeter"/>
    <w:uiPriority w:val="99"/>
    <w:semiHidden/>
    <w:unhideWhenUsed/>
    <w:rsid w:val="0036373F"/>
    <w:rPr>
      <w:color w:val="0000FF"/>
      <w:u w:val="single"/>
    </w:rPr>
  </w:style>
  <w:style w:type="character" w:styleId="Textoennegrita">
    <w:name w:val="Strong"/>
    <w:basedOn w:val="Fuentedeprrafopredeter"/>
    <w:uiPriority w:val="22"/>
    <w:qFormat/>
    <w:rsid w:val="0036373F"/>
    <w:rPr>
      <w:b/>
      <w:bCs/>
    </w:rPr>
  </w:style>
  <w:style w:type="paragraph" w:styleId="NormalWeb">
    <w:name w:val="Normal (Web)"/>
    <w:basedOn w:val="Normal"/>
    <w:uiPriority w:val="99"/>
    <w:semiHidden/>
    <w:unhideWhenUsed/>
    <w:rsid w:val="0036373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36373F"/>
    <w:rPr>
      <w:i/>
      <w:iCs/>
    </w:rPr>
  </w:style>
  <w:style w:type="paragraph" w:styleId="Textodeglobo">
    <w:name w:val="Balloon Text"/>
    <w:basedOn w:val="Normal"/>
    <w:link w:val="TextodegloboCar"/>
    <w:uiPriority w:val="99"/>
    <w:semiHidden/>
    <w:unhideWhenUsed/>
    <w:rsid w:val="0036373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373F"/>
    <w:rPr>
      <w:rFonts w:ascii="Tahoma" w:hAnsi="Tahoma" w:cs="Tahoma"/>
      <w:sz w:val="16"/>
      <w:szCs w:val="16"/>
    </w:rPr>
  </w:style>
  <w:style w:type="character" w:customStyle="1" w:styleId="Ttulo3Car">
    <w:name w:val="Título 3 Car"/>
    <w:basedOn w:val="Fuentedeprrafopredeter"/>
    <w:link w:val="Ttulo3"/>
    <w:uiPriority w:val="9"/>
    <w:semiHidden/>
    <w:rsid w:val="0080350E"/>
    <w:rPr>
      <w:rFonts w:asciiTheme="majorHAnsi" w:eastAsiaTheme="majorEastAsia" w:hAnsiTheme="majorHAnsi" w:cstheme="majorBidi"/>
      <w:b/>
      <w:bCs/>
      <w:color w:val="DDDDD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36373F"/>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next w:val="Normal"/>
    <w:link w:val="Ttulo3Car"/>
    <w:uiPriority w:val="9"/>
    <w:semiHidden/>
    <w:unhideWhenUsed/>
    <w:qFormat/>
    <w:rsid w:val="0080350E"/>
    <w:pPr>
      <w:keepNext/>
      <w:keepLines/>
      <w:spacing w:before="200" w:after="0"/>
      <w:outlineLvl w:val="2"/>
    </w:pPr>
    <w:rPr>
      <w:rFonts w:asciiTheme="majorHAnsi" w:eastAsiaTheme="majorEastAsia" w:hAnsiTheme="majorHAnsi" w:cstheme="majorBidi"/>
      <w:b/>
      <w:bCs/>
      <w:color w:val="DDDDD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6373F"/>
    <w:rPr>
      <w:rFonts w:ascii="Times New Roman" w:eastAsia="Times New Roman" w:hAnsi="Times New Roman" w:cs="Times New Roman"/>
      <w:b/>
      <w:bCs/>
      <w:sz w:val="36"/>
      <w:szCs w:val="36"/>
      <w:lang w:eastAsia="es-MX"/>
    </w:rPr>
  </w:style>
  <w:style w:type="character" w:styleId="Hipervnculo">
    <w:name w:val="Hyperlink"/>
    <w:basedOn w:val="Fuentedeprrafopredeter"/>
    <w:uiPriority w:val="99"/>
    <w:semiHidden/>
    <w:unhideWhenUsed/>
    <w:rsid w:val="0036373F"/>
    <w:rPr>
      <w:color w:val="0000FF"/>
      <w:u w:val="single"/>
    </w:rPr>
  </w:style>
  <w:style w:type="character" w:styleId="Textoennegrita">
    <w:name w:val="Strong"/>
    <w:basedOn w:val="Fuentedeprrafopredeter"/>
    <w:uiPriority w:val="22"/>
    <w:qFormat/>
    <w:rsid w:val="0036373F"/>
    <w:rPr>
      <w:b/>
      <w:bCs/>
    </w:rPr>
  </w:style>
  <w:style w:type="paragraph" w:styleId="NormalWeb">
    <w:name w:val="Normal (Web)"/>
    <w:basedOn w:val="Normal"/>
    <w:uiPriority w:val="99"/>
    <w:semiHidden/>
    <w:unhideWhenUsed/>
    <w:rsid w:val="0036373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36373F"/>
    <w:rPr>
      <w:i/>
      <w:iCs/>
    </w:rPr>
  </w:style>
  <w:style w:type="paragraph" w:styleId="Textodeglobo">
    <w:name w:val="Balloon Text"/>
    <w:basedOn w:val="Normal"/>
    <w:link w:val="TextodegloboCar"/>
    <w:uiPriority w:val="99"/>
    <w:semiHidden/>
    <w:unhideWhenUsed/>
    <w:rsid w:val="0036373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373F"/>
    <w:rPr>
      <w:rFonts w:ascii="Tahoma" w:hAnsi="Tahoma" w:cs="Tahoma"/>
      <w:sz w:val="16"/>
      <w:szCs w:val="16"/>
    </w:rPr>
  </w:style>
  <w:style w:type="character" w:customStyle="1" w:styleId="Ttulo3Car">
    <w:name w:val="Título 3 Car"/>
    <w:basedOn w:val="Fuentedeprrafopredeter"/>
    <w:link w:val="Ttulo3"/>
    <w:uiPriority w:val="9"/>
    <w:semiHidden/>
    <w:rsid w:val="0080350E"/>
    <w:rPr>
      <w:rFonts w:asciiTheme="majorHAnsi" w:eastAsiaTheme="majorEastAsia" w:hAnsiTheme="majorHAnsi" w:cstheme="majorBidi"/>
      <w:b/>
      <w:bCs/>
      <w:color w:val="DDDDD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232068">
      <w:bodyDiv w:val="1"/>
      <w:marLeft w:val="0"/>
      <w:marRight w:val="0"/>
      <w:marTop w:val="0"/>
      <w:marBottom w:val="0"/>
      <w:divBdr>
        <w:top w:val="none" w:sz="0" w:space="0" w:color="auto"/>
        <w:left w:val="none" w:sz="0" w:space="0" w:color="auto"/>
        <w:bottom w:val="none" w:sz="0" w:space="0" w:color="auto"/>
        <w:right w:val="none" w:sz="0" w:space="0" w:color="auto"/>
      </w:divBdr>
    </w:div>
    <w:div w:id="690036484">
      <w:bodyDiv w:val="1"/>
      <w:marLeft w:val="0"/>
      <w:marRight w:val="0"/>
      <w:marTop w:val="0"/>
      <w:marBottom w:val="0"/>
      <w:divBdr>
        <w:top w:val="none" w:sz="0" w:space="0" w:color="auto"/>
        <w:left w:val="none" w:sz="0" w:space="0" w:color="auto"/>
        <w:bottom w:val="none" w:sz="0" w:space="0" w:color="auto"/>
        <w:right w:val="none" w:sz="0" w:space="0" w:color="auto"/>
      </w:divBdr>
    </w:div>
    <w:div w:id="760100844">
      <w:bodyDiv w:val="1"/>
      <w:marLeft w:val="0"/>
      <w:marRight w:val="0"/>
      <w:marTop w:val="0"/>
      <w:marBottom w:val="0"/>
      <w:divBdr>
        <w:top w:val="none" w:sz="0" w:space="0" w:color="auto"/>
        <w:left w:val="none" w:sz="0" w:space="0" w:color="auto"/>
        <w:bottom w:val="none" w:sz="0" w:space="0" w:color="auto"/>
        <w:right w:val="none" w:sz="0" w:space="0" w:color="auto"/>
      </w:divBdr>
      <w:divsChild>
        <w:div w:id="1425568817">
          <w:marLeft w:val="0"/>
          <w:marRight w:val="0"/>
          <w:marTop w:val="0"/>
          <w:marBottom w:val="0"/>
          <w:divBdr>
            <w:top w:val="none" w:sz="0" w:space="0" w:color="auto"/>
            <w:left w:val="none" w:sz="0" w:space="0" w:color="auto"/>
            <w:bottom w:val="none" w:sz="0" w:space="0" w:color="auto"/>
            <w:right w:val="none" w:sz="0" w:space="0" w:color="auto"/>
          </w:divBdr>
        </w:div>
      </w:divsChild>
    </w:div>
    <w:div w:id="1029454319">
      <w:bodyDiv w:val="1"/>
      <w:marLeft w:val="0"/>
      <w:marRight w:val="0"/>
      <w:marTop w:val="0"/>
      <w:marBottom w:val="0"/>
      <w:divBdr>
        <w:top w:val="none" w:sz="0" w:space="0" w:color="auto"/>
        <w:left w:val="none" w:sz="0" w:space="0" w:color="auto"/>
        <w:bottom w:val="none" w:sz="0" w:space="0" w:color="auto"/>
        <w:right w:val="none" w:sz="0" w:space="0" w:color="auto"/>
      </w:divBdr>
    </w:div>
    <w:div w:id="1096706996">
      <w:bodyDiv w:val="1"/>
      <w:marLeft w:val="0"/>
      <w:marRight w:val="0"/>
      <w:marTop w:val="0"/>
      <w:marBottom w:val="0"/>
      <w:divBdr>
        <w:top w:val="none" w:sz="0" w:space="0" w:color="auto"/>
        <w:left w:val="none" w:sz="0" w:space="0" w:color="auto"/>
        <w:bottom w:val="none" w:sz="0" w:space="0" w:color="auto"/>
        <w:right w:val="none" w:sz="0" w:space="0" w:color="auto"/>
      </w:divBdr>
    </w:div>
    <w:div w:id="1287079868">
      <w:bodyDiv w:val="1"/>
      <w:marLeft w:val="0"/>
      <w:marRight w:val="0"/>
      <w:marTop w:val="0"/>
      <w:marBottom w:val="0"/>
      <w:divBdr>
        <w:top w:val="none" w:sz="0" w:space="0" w:color="auto"/>
        <w:left w:val="none" w:sz="0" w:space="0" w:color="auto"/>
        <w:bottom w:val="none" w:sz="0" w:space="0" w:color="auto"/>
        <w:right w:val="none" w:sz="0" w:space="0" w:color="auto"/>
      </w:divBdr>
    </w:div>
    <w:div w:id="1708487102">
      <w:bodyDiv w:val="1"/>
      <w:marLeft w:val="0"/>
      <w:marRight w:val="0"/>
      <w:marTop w:val="0"/>
      <w:marBottom w:val="0"/>
      <w:divBdr>
        <w:top w:val="none" w:sz="0" w:space="0" w:color="auto"/>
        <w:left w:val="none" w:sz="0" w:space="0" w:color="auto"/>
        <w:bottom w:val="none" w:sz="0" w:space="0" w:color="auto"/>
        <w:right w:val="none" w:sz="0" w:space="0" w:color="auto"/>
      </w:divBdr>
    </w:div>
    <w:div w:id="1742172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Adyacencia">
  <a:themeElements>
    <a:clrScheme name="Escala de grises">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90000"/>
              </a:schemeClr>
            </a:gs>
            <a:gs pos="75000">
              <a:schemeClr val="phClr">
                <a:shade val="100000"/>
                <a:satMod val="115000"/>
              </a:schemeClr>
            </a:gs>
            <a:gs pos="100000">
              <a:schemeClr val="phClr">
                <a:shade val="70000"/>
                <a:satMod val="130000"/>
              </a:schemeClr>
            </a:gs>
          </a:gsLst>
          <a:path path="circle">
            <a:fillToRect l="20000" t="50000" r="100000" b="50000"/>
          </a:path>
        </a:gradFill>
        <a:blipFill rotWithShape="1">
          <a:blip xmlns:r="http://schemas.openxmlformats.org/officeDocument/2006/relationships" r:embed="rId1">
            <a:duotone>
              <a:schemeClr val="phClr">
                <a:tint val="97000"/>
              </a:schemeClr>
              <a:schemeClr val="phClr">
                <a:shade val="96000"/>
              </a:schemeClr>
            </a:duotone>
          </a:blip>
          <a:tile tx="0" ty="0" sx="32000" sy="32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1214</Words>
  <Characters>6683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dc:creator>
  <cp:lastModifiedBy>DANI</cp:lastModifiedBy>
  <cp:revision>3</cp:revision>
  <dcterms:created xsi:type="dcterms:W3CDTF">2018-08-05T17:45:00Z</dcterms:created>
  <dcterms:modified xsi:type="dcterms:W3CDTF">2018-08-12T23:49:00Z</dcterms:modified>
</cp:coreProperties>
</file>